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rPr>
          <w:rFonts w:hint="default" w:ascii="Times New Roman" w:hAnsi="Times New Roman" w:eastAsia="黑体" w:cs="Times New Roman"/>
          <w:b/>
          <w:color w:val="auto"/>
          <w:sz w:val="32"/>
          <w:szCs w:val="28"/>
          <w:highlight w:val="none"/>
          <w:lang w:eastAsia="zh-CN"/>
        </w:rPr>
      </w:pPr>
      <w:bookmarkStart w:id="0" w:name="_bookmark1"/>
      <w:bookmarkEnd w:id="0"/>
      <w:bookmarkStart w:id="1" w:name="_bookmark8"/>
      <w:bookmarkEnd w:id="1"/>
      <w:r>
        <w:rPr>
          <w:rFonts w:hint="default" w:ascii="Times New Roman" w:hAnsi="Times New Roman" w:eastAsia="黑体" w:cs="Times New Roman"/>
          <w:b/>
          <w:color w:val="auto"/>
          <w:sz w:val="32"/>
          <w:szCs w:val="28"/>
          <w:highlight w:val="none"/>
        </w:rPr>
        <w:t>附件：物资需求一览表</w:t>
      </w:r>
    </w:p>
    <w:p>
      <w:pPr>
        <w:pStyle w:val="11"/>
        <w:ind w:firstLine="0"/>
        <w:jc w:val="center"/>
        <w:rPr>
          <w:rFonts w:hint="default" w:ascii="Times New Roman" w:hAnsi="Times New Roman" w:cs="Times New Roman"/>
          <w:b/>
          <w:bCs/>
          <w:color w:val="auto"/>
          <w:sz w:val="36"/>
          <w:szCs w:val="36"/>
          <w:highlight w:val="none"/>
          <w:lang w:eastAsia="zh-CN"/>
        </w:rPr>
      </w:pPr>
      <w:r>
        <w:rPr>
          <w:rFonts w:hint="default" w:ascii="Times New Roman" w:hAnsi="Times New Roman" w:cs="Times New Roman"/>
          <w:b/>
          <w:bCs/>
          <w:color w:val="auto"/>
          <w:sz w:val="36"/>
          <w:szCs w:val="36"/>
          <w:highlight w:val="none"/>
          <w:lang w:eastAsia="zh-CN"/>
        </w:rPr>
        <w:t>商品采购计划表</w:t>
      </w:r>
    </w:p>
    <w:p>
      <w:pPr>
        <w:pStyle w:val="5"/>
        <w:spacing w:before="100" w:beforeAutospacing="1" w:after="100" w:afterAutospacing="1" w:line="240" w:lineRule="auto"/>
        <w:ind w:left="0" w:right="-152" w:rightChars="-69"/>
        <w:rPr>
          <w:rFonts w:hint="default" w:ascii="Times New Roman" w:hAnsi="Times New Roman" w:eastAsia="黑体" w:cs="Times New Roman"/>
          <w:b/>
          <w:bCs/>
          <w:color w:val="auto"/>
          <w:sz w:val="24"/>
          <w:szCs w:val="24"/>
          <w:highlight w:val="none"/>
          <w:lang w:eastAsia="zh-CN"/>
        </w:rPr>
      </w:pPr>
      <w:bookmarkStart w:id="2" w:name="_Toc23312"/>
      <w:r>
        <w:rPr>
          <w:rFonts w:hint="default" w:ascii="Times New Roman" w:hAnsi="Times New Roman" w:cs="Times New Roman"/>
          <w:b/>
          <w:bCs/>
          <w:color w:val="auto"/>
          <w:sz w:val="24"/>
          <w:szCs w:val="24"/>
          <w:highlight w:val="none"/>
          <w:lang w:eastAsia="zh-CN"/>
        </w:rPr>
        <w:t>项目名称：</w:t>
      </w:r>
      <w:r>
        <w:rPr>
          <w:rFonts w:hint="default" w:ascii="Times New Roman" w:hAnsi="Times New Roman" w:cs="Times New Roman"/>
          <w:b/>
          <w:bCs/>
          <w:color w:val="auto"/>
          <w:sz w:val="24"/>
          <w:szCs w:val="24"/>
          <w:highlight w:val="none"/>
          <w:u w:val="single"/>
          <w:lang w:eastAsia="zh-CN"/>
        </w:rPr>
        <w:t>青海省交通建设工程有限公司韵家口镇小寨新村五期项目标段一商砼采购项目</w:t>
      </w:r>
      <w:bookmarkEnd w:id="2"/>
    </w:p>
    <w:tbl>
      <w:tblPr>
        <w:tblStyle w:val="2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419"/>
        <w:gridCol w:w="1558"/>
        <w:gridCol w:w="763"/>
        <w:gridCol w:w="1541"/>
        <w:gridCol w:w="1132"/>
        <w:gridCol w:w="120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序号</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材料名称</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等级</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单位</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计划采购数量</w:t>
            </w:r>
          </w:p>
        </w:tc>
        <w:tc>
          <w:tcPr>
            <w:tcW w:w="1132" w:type="dxa"/>
            <w:vAlign w:val="center"/>
          </w:tcPr>
          <w:p>
            <w:pPr>
              <w:pStyle w:val="11"/>
              <w:spacing w:line="240" w:lineRule="auto"/>
              <w:ind w:firstLine="0"/>
              <w:jc w:val="center"/>
              <w:rPr>
                <w:rFonts w:hint="default" w:ascii="Times New Roman" w:hAnsi="Times New Roman" w:cs="Times New Roman"/>
                <w:b/>
                <w:bCs/>
                <w:color w:val="auto"/>
                <w:sz w:val="36"/>
                <w:szCs w:val="36"/>
                <w:highlight w:val="none"/>
                <w:lang w:eastAsia="zh-CN"/>
              </w:rPr>
            </w:pPr>
            <w:r>
              <w:rPr>
                <w:rFonts w:hint="default" w:ascii="Times New Roman" w:hAnsi="Times New Roman" w:cs="Times New Roman"/>
                <w:color w:val="auto"/>
                <w:sz w:val="22"/>
                <w:highlight w:val="none"/>
                <w:lang w:eastAsia="zh-CN"/>
              </w:rPr>
              <w:t>交货期</w:t>
            </w:r>
          </w:p>
        </w:tc>
        <w:tc>
          <w:tcPr>
            <w:tcW w:w="1209" w:type="dxa"/>
            <w:vAlign w:val="center"/>
          </w:tcPr>
          <w:p>
            <w:pPr>
              <w:pStyle w:val="11"/>
              <w:spacing w:line="240" w:lineRule="auto"/>
              <w:ind w:firstLine="0"/>
              <w:jc w:val="center"/>
              <w:rPr>
                <w:rFonts w:hint="default" w:ascii="Times New Roman" w:hAnsi="Times New Roman" w:cs="Times New Roman"/>
                <w:color w:val="auto"/>
                <w:sz w:val="22"/>
                <w:highlight w:val="none"/>
                <w:lang w:eastAsia="zh-CN"/>
              </w:rPr>
            </w:pPr>
            <w:r>
              <w:rPr>
                <w:rFonts w:hint="default" w:ascii="Times New Roman" w:hAnsi="Times New Roman" w:cs="Times New Roman"/>
                <w:color w:val="auto"/>
                <w:sz w:val="22"/>
                <w:highlight w:val="none"/>
                <w:lang w:eastAsia="zh-CN"/>
              </w:rPr>
              <w:t>交货</w:t>
            </w:r>
          </w:p>
          <w:p>
            <w:pPr>
              <w:pStyle w:val="11"/>
              <w:spacing w:line="240" w:lineRule="auto"/>
              <w:ind w:firstLine="0"/>
              <w:jc w:val="center"/>
              <w:rPr>
                <w:rFonts w:hint="default" w:ascii="Times New Roman" w:hAnsi="Times New Roman" w:cs="Times New Roman"/>
                <w:b/>
                <w:bCs/>
                <w:color w:val="auto"/>
                <w:sz w:val="36"/>
                <w:szCs w:val="36"/>
                <w:highlight w:val="none"/>
                <w:lang w:eastAsia="zh-CN"/>
              </w:rPr>
            </w:pPr>
            <w:r>
              <w:rPr>
                <w:rFonts w:hint="default" w:ascii="Times New Roman" w:hAnsi="Times New Roman" w:cs="Times New Roman"/>
                <w:color w:val="auto"/>
                <w:sz w:val="22"/>
                <w:highlight w:val="none"/>
                <w:lang w:eastAsia="zh-CN"/>
              </w:rPr>
              <w:t>地点</w:t>
            </w:r>
          </w:p>
        </w:tc>
        <w:tc>
          <w:tcPr>
            <w:tcW w:w="1168" w:type="dxa"/>
          </w:tcPr>
          <w:p>
            <w:pPr>
              <w:pStyle w:val="11"/>
              <w:ind w:firstLine="0"/>
              <w:jc w:val="center"/>
              <w:rPr>
                <w:rFonts w:hint="default" w:ascii="Times New Roman" w:hAnsi="Times New Roman" w:cs="Times New Roman"/>
                <w:b/>
                <w:bCs/>
                <w:color w:val="auto"/>
                <w:sz w:val="36"/>
                <w:szCs w:val="36"/>
                <w:highlight w:val="none"/>
                <w:lang w:eastAsia="zh-CN"/>
              </w:rPr>
            </w:pPr>
            <w:r>
              <w:rPr>
                <w:rFonts w:hint="default" w:ascii="Times New Roman" w:hAnsi="Times New Roman" w:cs="Times New Roman"/>
                <w:color w:val="auto"/>
                <w:sz w:val="2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C15</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236</w:t>
            </w:r>
          </w:p>
        </w:tc>
        <w:tc>
          <w:tcPr>
            <w:tcW w:w="1132" w:type="dxa"/>
            <w:vMerge w:val="restart"/>
            <w:vAlign w:val="center"/>
          </w:tcPr>
          <w:p>
            <w:pPr>
              <w:pStyle w:val="11"/>
              <w:spacing w:line="240" w:lineRule="auto"/>
              <w:ind w:firstLine="0"/>
              <w:jc w:val="center"/>
              <w:rPr>
                <w:rFonts w:hint="default" w:ascii="Times New Roman" w:hAnsi="Times New Roman" w:cs="Times New Roman"/>
                <w:b/>
                <w:bCs/>
                <w:color w:val="auto"/>
                <w:sz w:val="36"/>
                <w:szCs w:val="36"/>
                <w:highlight w:val="none"/>
                <w:lang w:eastAsia="zh-CN"/>
              </w:rPr>
            </w:pPr>
            <w:r>
              <w:rPr>
                <w:rFonts w:hint="default" w:ascii="Times New Roman" w:hAnsi="Times New Roman" w:cs="Times New Roman"/>
                <w:color w:val="auto"/>
                <w:sz w:val="22"/>
                <w:highlight w:val="none"/>
                <w:lang w:val="en-US" w:eastAsia="zh-CN"/>
              </w:rPr>
              <w:t>以</w:t>
            </w:r>
            <w:r>
              <w:rPr>
                <w:rFonts w:hint="default" w:ascii="Times New Roman" w:hAnsi="Times New Roman" w:cs="Times New Roman"/>
                <w:color w:val="auto"/>
                <w:sz w:val="22"/>
                <w:highlight w:val="none"/>
                <w:lang w:eastAsia="zh-CN"/>
              </w:rPr>
              <w:t>工地实际需要为准</w:t>
            </w:r>
          </w:p>
        </w:tc>
        <w:tc>
          <w:tcPr>
            <w:tcW w:w="1209" w:type="dxa"/>
            <w:vMerge w:val="restart"/>
            <w:vAlign w:val="center"/>
          </w:tcPr>
          <w:p>
            <w:pPr>
              <w:pStyle w:val="11"/>
              <w:spacing w:line="240" w:lineRule="auto"/>
              <w:ind w:firstLine="0"/>
              <w:jc w:val="left"/>
              <w:rPr>
                <w:rFonts w:hint="default" w:ascii="Times New Roman" w:hAnsi="Times New Roman" w:cs="Times New Roman"/>
                <w:color w:val="auto"/>
                <w:sz w:val="22"/>
                <w:highlight w:val="none"/>
                <w:lang w:eastAsia="zh-CN"/>
              </w:rPr>
            </w:pPr>
            <w:r>
              <w:rPr>
                <w:rFonts w:hint="default" w:ascii="Times New Roman" w:hAnsi="Times New Roman" w:cs="Times New Roman"/>
                <w:color w:val="auto"/>
                <w:sz w:val="22"/>
                <w:highlight w:val="none"/>
                <w:lang w:eastAsia="zh-CN"/>
              </w:rPr>
              <w:t>西宁市城东区小寨小寨新村</w:t>
            </w: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2</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C20</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788</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3</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C25</w:t>
            </w:r>
            <w:r>
              <w:rPr>
                <w:rStyle w:val="39"/>
                <w:rFonts w:hint="default" w:ascii="Times New Roman" w:hAnsi="Times New Roman" w:cs="Times New Roman"/>
                <w:color w:val="auto"/>
                <w:highlight w:val="none"/>
                <w:lang w:eastAsia="zh-CN"/>
              </w:rPr>
              <w:t>耐磨彩色混凝土</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11</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4</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C25</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415</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5</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C30</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3875</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6</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C30 S6</w:t>
            </w:r>
            <w:r>
              <w:rPr>
                <w:rStyle w:val="39"/>
                <w:rFonts w:hint="default" w:ascii="Times New Roman" w:hAnsi="Times New Roman" w:cs="Times New Roman"/>
                <w:color w:val="auto"/>
                <w:highlight w:val="none"/>
                <w:lang w:eastAsia="zh-CN"/>
              </w:rPr>
              <w:t>抗渗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102</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7</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C35</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1163</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8</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C40</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172</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9</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C45</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3618</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10</w:t>
            </w: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商品混凝土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C45 S6</w:t>
            </w:r>
            <w:r>
              <w:rPr>
                <w:rStyle w:val="39"/>
                <w:rFonts w:hint="default" w:ascii="Times New Roman" w:hAnsi="Times New Roman" w:cs="Times New Roman"/>
                <w:color w:val="auto"/>
                <w:highlight w:val="none"/>
                <w:lang w:eastAsia="zh-CN"/>
              </w:rPr>
              <w:t>抗渗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479</w:t>
            </w:r>
          </w:p>
        </w:tc>
        <w:tc>
          <w:tcPr>
            <w:tcW w:w="1132"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P6抗渗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P8抗渗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P10抗渗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早强剂</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中抗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高抗</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膨胀纤维</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防腐阻锈剂</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外加剂</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冬施防冻剂</w:t>
            </w: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细石混凝土</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m³</w:t>
            </w:r>
          </w:p>
        </w:tc>
        <w:tc>
          <w:tcPr>
            <w:tcW w:w="1541"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p>
        </w:tc>
        <w:tc>
          <w:tcPr>
            <w:tcW w:w="1132"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209" w:type="dxa"/>
            <w:vMerge w:val="continue"/>
          </w:tcPr>
          <w:p>
            <w:pPr>
              <w:pStyle w:val="11"/>
              <w:jc w:val="both"/>
              <w:rPr>
                <w:rFonts w:hint="default" w:ascii="Times New Roman" w:hAnsi="Times New Roman" w:cs="Times New Roman"/>
                <w:b/>
                <w:bCs/>
                <w:color w:val="auto"/>
                <w:sz w:val="36"/>
                <w:szCs w:val="36"/>
                <w:highlight w:val="none"/>
                <w:lang w:eastAsia="zh-CN"/>
              </w:rPr>
            </w:pPr>
          </w:p>
        </w:tc>
        <w:tc>
          <w:tcPr>
            <w:tcW w:w="1168" w:type="dxa"/>
          </w:tcPr>
          <w:p>
            <w:pPr>
              <w:pStyle w:val="11"/>
              <w:jc w:val="both"/>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泵送</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p>
        </w:tc>
        <w:tc>
          <w:tcPr>
            <w:tcW w:w="1541" w:type="dxa"/>
            <w:vAlign w:val="center"/>
          </w:tcPr>
          <w:p>
            <w:pPr>
              <w:jc w:val="center"/>
              <w:rPr>
                <w:rFonts w:hint="default" w:ascii="Times New Roman" w:hAnsi="Times New Roman" w:cs="Times New Roman"/>
                <w:color w:val="auto"/>
                <w:highlight w:val="none"/>
                <w:lang w:eastAsia="zh-CN"/>
              </w:rPr>
            </w:pPr>
          </w:p>
        </w:tc>
        <w:tc>
          <w:tcPr>
            <w:tcW w:w="1132" w:type="dxa"/>
          </w:tcPr>
          <w:p>
            <w:pPr>
              <w:pStyle w:val="11"/>
              <w:jc w:val="left"/>
              <w:rPr>
                <w:rFonts w:hint="default" w:ascii="Times New Roman" w:hAnsi="Times New Roman" w:cs="Times New Roman"/>
                <w:b/>
                <w:bCs/>
                <w:color w:val="auto"/>
                <w:sz w:val="36"/>
                <w:szCs w:val="36"/>
                <w:highlight w:val="none"/>
                <w:lang w:eastAsia="zh-CN"/>
              </w:rPr>
            </w:pPr>
          </w:p>
        </w:tc>
        <w:tc>
          <w:tcPr>
            <w:tcW w:w="1209" w:type="dxa"/>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widowControl/>
              <w:jc w:val="center"/>
              <w:textAlignment w:val="center"/>
              <w:rPr>
                <w:rFonts w:hint="default" w:ascii="Times New Roman" w:hAnsi="Times New Roman" w:cs="Times New Roman"/>
                <w:color w:val="auto"/>
                <w:highlight w:val="none"/>
                <w:lang w:eastAsia="zh-CN"/>
              </w:rPr>
            </w:pPr>
          </w:p>
        </w:tc>
        <w:tc>
          <w:tcPr>
            <w:tcW w:w="1419" w:type="dxa"/>
            <w:vAlign w:val="center"/>
          </w:tcPr>
          <w:p>
            <w:pPr>
              <w:widowControl/>
              <w:jc w:val="center"/>
              <w:textAlignment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合计</w:t>
            </w:r>
          </w:p>
        </w:tc>
        <w:tc>
          <w:tcPr>
            <w:tcW w:w="1558" w:type="dxa"/>
            <w:vAlign w:val="center"/>
          </w:tcPr>
          <w:p>
            <w:pPr>
              <w:widowControl/>
              <w:jc w:val="center"/>
              <w:textAlignment w:val="center"/>
              <w:rPr>
                <w:rFonts w:hint="default" w:ascii="Times New Roman" w:hAnsi="Times New Roman" w:cs="Times New Roman"/>
                <w:color w:val="auto"/>
                <w:highlight w:val="none"/>
                <w:lang w:eastAsia="zh-CN"/>
              </w:rPr>
            </w:pPr>
          </w:p>
        </w:tc>
        <w:tc>
          <w:tcPr>
            <w:tcW w:w="763" w:type="dxa"/>
            <w:vAlign w:val="center"/>
          </w:tcPr>
          <w:p>
            <w:pPr>
              <w:widowControl/>
              <w:jc w:val="center"/>
              <w:textAlignment w:val="center"/>
              <w:rPr>
                <w:rFonts w:hint="default" w:ascii="Times New Roman" w:hAnsi="Times New Roman" w:cs="Times New Roman"/>
                <w:color w:val="auto"/>
                <w:highlight w:val="none"/>
                <w:lang w:eastAsia="zh-CN"/>
              </w:rPr>
            </w:pPr>
          </w:p>
        </w:tc>
        <w:tc>
          <w:tcPr>
            <w:tcW w:w="1541" w:type="dxa"/>
            <w:vAlign w:val="center"/>
          </w:tcPr>
          <w:p>
            <w:pPr>
              <w:jc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10859</w:t>
            </w:r>
          </w:p>
        </w:tc>
        <w:tc>
          <w:tcPr>
            <w:tcW w:w="1132" w:type="dxa"/>
          </w:tcPr>
          <w:p>
            <w:pPr>
              <w:pStyle w:val="11"/>
              <w:jc w:val="left"/>
              <w:rPr>
                <w:rFonts w:hint="default" w:ascii="Times New Roman" w:hAnsi="Times New Roman" w:cs="Times New Roman"/>
                <w:b/>
                <w:bCs/>
                <w:color w:val="auto"/>
                <w:sz w:val="36"/>
                <w:szCs w:val="36"/>
                <w:highlight w:val="none"/>
                <w:lang w:eastAsia="zh-CN"/>
              </w:rPr>
            </w:pPr>
          </w:p>
        </w:tc>
        <w:tc>
          <w:tcPr>
            <w:tcW w:w="1209" w:type="dxa"/>
          </w:tcPr>
          <w:p>
            <w:pPr>
              <w:pStyle w:val="11"/>
              <w:jc w:val="left"/>
              <w:rPr>
                <w:rFonts w:hint="default" w:ascii="Times New Roman" w:hAnsi="Times New Roman" w:cs="Times New Roman"/>
                <w:b/>
                <w:bCs/>
                <w:color w:val="auto"/>
                <w:sz w:val="36"/>
                <w:szCs w:val="36"/>
                <w:highlight w:val="none"/>
                <w:lang w:eastAsia="zh-CN"/>
              </w:rPr>
            </w:pPr>
          </w:p>
        </w:tc>
        <w:tc>
          <w:tcPr>
            <w:tcW w:w="1168" w:type="dxa"/>
          </w:tcPr>
          <w:p>
            <w:pPr>
              <w:pStyle w:val="11"/>
              <w:jc w:val="left"/>
              <w:rPr>
                <w:rFonts w:hint="default" w:ascii="Times New Roman" w:hAnsi="Times New Roman" w:cs="Times New Roman"/>
                <w:b/>
                <w:bCs/>
                <w:color w:val="auto"/>
                <w:sz w:val="36"/>
                <w:szCs w:val="36"/>
                <w:highlight w:val="none"/>
                <w:lang w:eastAsia="zh-CN"/>
              </w:rPr>
            </w:pPr>
          </w:p>
        </w:tc>
      </w:tr>
    </w:tbl>
    <w:p>
      <w:pPr>
        <w:spacing w:line="400" w:lineRule="exact"/>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备</w:t>
      </w:r>
      <w:r>
        <w:rPr>
          <w:rFonts w:hint="default" w:ascii="Times New Roman" w:hAnsi="Times New Roman" w:eastAsia="宋体" w:cs="Times New Roman"/>
          <w:color w:val="auto"/>
          <w:szCs w:val="21"/>
          <w:highlight w:val="none"/>
        </w:rPr>
        <w:t>注：</w:t>
      </w:r>
      <w:r>
        <w:rPr>
          <w:rFonts w:hint="default" w:ascii="Times New Roman" w:hAnsi="Times New Roman" w:eastAsia="宋体" w:cs="Times New Roman"/>
          <w:color w:val="auto"/>
          <w:szCs w:val="21"/>
          <w:highlight w:val="none"/>
          <w:lang w:eastAsia="zh-CN"/>
        </w:rPr>
        <w:t>1.</w:t>
      </w:r>
      <w:r>
        <w:rPr>
          <w:rFonts w:hint="default" w:ascii="Times New Roman" w:hAnsi="Times New Roman" w:eastAsia="宋体" w:cs="Times New Roman"/>
          <w:color w:val="auto"/>
          <w:szCs w:val="21"/>
          <w:highlight w:val="none"/>
        </w:rPr>
        <w:t>以上数量均为预计数量，具体数量以实际使用量为准，招标人不承担因数量变动给投标人带来的任何损失，具体进货时间根据工程实际进度需求而定，投标人应予理解并接受</w:t>
      </w:r>
      <w:r>
        <w:rPr>
          <w:rFonts w:hint="default" w:ascii="Times New Roman" w:hAnsi="Times New Roman" w:eastAsia="宋体" w:cs="Times New Roman"/>
          <w:color w:val="auto"/>
          <w:szCs w:val="21"/>
          <w:highlight w:val="none"/>
          <w:lang w:eastAsia="zh-CN"/>
        </w:rPr>
        <w:t>，最终以买方签字验收合格的水泥混凝土数量结算。</w:t>
      </w:r>
    </w:p>
    <w:p>
      <w:pPr>
        <w:spacing w:line="400" w:lineRule="exact"/>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eastAsia="zh-CN"/>
        </w:rPr>
        <w:t xml:space="preserve">、提供合法有效的发票：水泥混凝土材料费（包含运费）3%增值税专用发票，一票制。 </w:t>
      </w: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7"/>
        <w:ind w:firstLine="40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3"/>
        <w:ind w:left="14" w:hanging="14"/>
        <w:jc w:val="center"/>
        <w:rPr>
          <w:rFonts w:hint="default" w:ascii="Times New Roman" w:hAnsi="Times New Roman" w:eastAsia="黑体" w:cs="Times New Roman"/>
          <w:b w:val="0"/>
          <w:bCs w:val="0"/>
          <w:color w:val="auto"/>
          <w:highlight w:val="none"/>
          <w:lang w:eastAsia="zh-CN"/>
        </w:rPr>
      </w:pPr>
    </w:p>
    <w:p>
      <w:pPr>
        <w:rPr>
          <w:rFonts w:hint="default" w:ascii="Times New Roman" w:hAnsi="Times New Roman" w:cs="Times New Roman"/>
          <w:color w:val="auto"/>
          <w:highlight w:val="none"/>
          <w:lang w:eastAsia="zh-CN"/>
        </w:rPr>
      </w:pPr>
      <w:bookmarkStart w:id="3" w:name="_GoBack"/>
      <w:bookmarkEnd w:id="3"/>
    </w:p>
    <w:sectPr>
      <w:footerReference r:id="rId3" w:type="default"/>
      <w:pgSz w:w="12240" w:h="15840"/>
      <w:pgMar w:top="1134" w:right="1134" w:bottom="1134" w:left="1701" w:header="0" w:footer="921" w:gutter="0"/>
      <w:cols w:equalWidth="0" w:num="1">
        <w:col w:w="880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ongti SC Regular">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87</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87</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GE1N2ZjYzNmZDBjNTE1MWNhMTkyYWYyZmZkM2YifQ=="/>
  </w:docVars>
  <w:rsids>
    <w:rsidRoot w:val="00263F2C"/>
    <w:rsid w:val="0002396A"/>
    <w:rsid w:val="000C4949"/>
    <w:rsid w:val="0014265D"/>
    <w:rsid w:val="001C2057"/>
    <w:rsid w:val="001E37E6"/>
    <w:rsid w:val="002157FD"/>
    <w:rsid w:val="00222000"/>
    <w:rsid w:val="00240860"/>
    <w:rsid w:val="00263F2C"/>
    <w:rsid w:val="00364127"/>
    <w:rsid w:val="00421AF3"/>
    <w:rsid w:val="00562C43"/>
    <w:rsid w:val="00597C36"/>
    <w:rsid w:val="005E326B"/>
    <w:rsid w:val="00677556"/>
    <w:rsid w:val="006A08DE"/>
    <w:rsid w:val="00745F0A"/>
    <w:rsid w:val="00902233"/>
    <w:rsid w:val="009B17DD"/>
    <w:rsid w:val="009C2019"/>
    <w:rsid w:val="009D1497"/>
    <w:rsid w:val="00A2069B"/>
    <w:rsid w:val="00A21370"/>
    <w:rsid w:val="00A30BFA"/>
    <w:rsid w:val="00A430A2"/>
    <w:rsid w:val="00AE3021"/>
    <w:rsid w:val="00BE2983"/>
    <w:rsid w:val="00C06D2C"/>
    <w:rsid w:val="00C968FA"/>
    <w:rsid w:val="00CD1EAE"/>
    <w:rsid w:val="00CF6772"/>
    <w:rsid w:val="00D96FF6"/>
    <w:rsid w:val="00DB5AC2"/>
    <w:rsid w:val="00E10527"/>
    <w:rsid w:val="00E741B6"/>
    <w:rsid w:val="00E75F0D"/>
    <w:rsid w:val="00E938DC"/>
    <w:rsid w:val="00FC5618"/>
    <w:rsid w:val="013D387F"/>
    <w:rsid w:val="01403B7D"/>
    <w:rsid w:val="014F23CE"/>
    <w:rsid w:val="01602FCF"/>
    <w:rsid w:val="01756CE0"/>
    <w:rsid w:val="01BD02BC"/>
    <w:rsid w:val="01C970FA"/>
    <w:rsid w:val="01E861F7"/>
    <w:rsid w:val="01F04E61"/>
    <w:rsid w:val="020A6D55"/>
    <w:rsid w:val="021F0395"/>
    <w:rsid w:val="024E484C"/>
    <w:rsid w:val="026B490A"/>
    <w:rsid w:val="028B0DF9"/>
    <w:rsid w:val="02D760C2"/>
    <w:rsid w:val="030565F9"/>
    <w:rsid w:val="03484485"/>
    <w:rsid w:val="035C7FE7"/>
    <w:rsid w:val="041E69E7"/>
    <w:rsid w:val="042A2C4B"/>
    <w:rsid w:val="043D486F"/>
    <w:rsid w:val="045B1095"/>
    <w:rsid w:val="048018E2"/>
    <w:rsid w:val="0504002B"/>
    <w:rsid w:val="051934F5"/>
    <w:rsid w:val="05740EBD"/>
    <w:rsid w:val="059355E9"/>
    <w:rsid w:val="05BE3B67"/>
    <w:rsid w:val="05C30A37"/>
    <w:rsid w:val="05E023D0"/>
    <w:rsid w:val="062258E6"/>
    <w:rsid w:val="06241805"/>
    <w:rsid w:val="065C7A1A"/>
    <w:rsid w:val="06655B20"/>
    <w:rsid w:val="066A4839"/>
    <w:rsid w:val="067F7D5F"/>
    <w:rsid w:val="06BF68A5"/>
    <w:rsid w:val="07014E01"/>
    <w:rsid w:val="0718052E"/>
    <w:rsid w:val="0735574C"/>
    <w:rsid w:val="076B416A"/>
    <w:rsid w:val="077E07BC"/>
    <w:rsid w:val="07A73DAC"/>
    <w:rsid w:val="080B00DC"/>
    <w:rsid w:val="08465824"/>
    <w:rsid w:val="08BB4CEC"/>
    <w:rsid w:val="09425AB7"/>
    <w:rsid w:val="09A06B26"/>
    <w:rsid w:val="09E7466C"/>
    <w:rsid w:val="09EB5071"/>
    <w:rsid w:val="0A0D15B3"/>
    <w:rsid w:val="0A0F729E"/>
    <w:rsid w:val="0A111276"/>
    <w:rsid w:val="0A3215CF"/>
    <w:rsid w:val="0A3470E3"/>
    <w:rsid w:val="0A7159E9"/>
    <w:rsid w:val="0A7A710D"/>
    <w:rsid w:val="0A956F83"/>
    <w:rsid w:val="0B1E1894"/>
    <w:rsid w:val="0B2D0743"/>
    <w:rsid w:val="0B2E5D5E"/>
    <w:rsid w:val="0BAA0C49"/>
    <w:rsid w:val="0BD33268"/>
    <w:rsid w:val="0CAF4927"/>
    <w:rsid w:val="0CAF66D7"/>
    <w:rsid w:val="0CBA1291"/>
    <w:rsid w:val="0D284FF4"/>
    <w:rsid w:val="0D2E7006"/>
    <w:rsid w:val="0D7462FC"/>
    <w:rsid w:val="0D8C77BC"/>
    <w:rsid w:val="0D920B80"/>
    <w:rsid w:val="0DD24F2E"/>
    <w:rsid w:val="0DDD1ADA"/>
    <w:rsid w:val="0DDF30C2"/>
    <w:rsid w:val="0DF81194"/>
    <w:rsid w:val="0E6C199D"/>
    <w:rsid w:val="0E8E7F49"/>
    <w:rsid w:val="0EC92E2E"/>
    <w:rsid w:val="0ECE5C75"/>
    <w:rsid w:val="0EF77FDE"/>
    <w:rsid w:val="0F280E51"/>
    <w:rsid w:val="0F5E5AEF"/>
    <w:rsid w:val="0F866C90"/>
    <w:rsid w:val="0F924180"/>
    <w:rsid w:val="0FAD0CC5"/>
    <w:rsid w:val="0FDE17C7"/>
    <w:rsid w:val="0FF752BE"/>
    <w:rsid w:val="100032C4"/>
    <w:rsid w:val="100668EE"/>
    <w:rsid w:val="106E1F04"/>
    <w:rsid w:val="109D564F"/>
    <w:rsid w:val="10A005C5"/>
    <w:rsid w:val="10AB17EB"/>
    <w:rsid w:val="10AE0D7B"/>
    <w:rsid w:val="10EE17B2"/>
    <w:rsid w:val="11396F16"/>
    <w:rsid w:val="114B0514"/>
    <w:rsid w:val="116B6059"/>
    <w:rsid w:val="11892426"/>
    <w:rsid w:val="11C90B0E"/>
    <w:rsid w:val="12184452"/>
    <w:rsid w:val="122330E6"/>
    <w:rsid w:val="12B63050"/>
    <w:rsid w:val="12D37571"/>
    <w:rsid w:val="12E20533"/>
    <w:rsid w:val="12EB71BF"/>
    <w:rsid w:val="1357126B"/>
    <w:rsid w:val="136A0BFC"/>
    <w:rsid w:val="137F5C91"/>
    <w:rsid w:val="140D028C"/>
    <w:rsid w:val="15060DE2"/>
    <w:rsid w:val="151A6DFD"/>
    <w:rsid w:val="153D6AF7"/>
    <w:rsid w:val="1541472C"/>
    <w:rsid w:val="15960122"/>
    <w:rsid w:val="15AD7204"/>
    <w:rsid w:val="164B6B68"/>
    <w:rsid w:val="16666819"/>
    <w:rsid w:val="16AE4137"/>
    <w:rsid w:val="16F06D71"/>
    <w:rsid w:val="16F84076"/>
    <w:rsid w:val="17420B9E"/>
    <w:rsid w:val="175023D2"/>
    <w:rsid w:val="177A139C"/>
    <w:rsid w:val="17975ECA"/>
    <w:rsid w:val="179F0498"/>
    <w:rsid w:val="18192141"/>
    <w:rsid w:val="182654C2"/>
    <w:rsid w:val="18540714"/>
    <w:rsid w:val="18574FB3"/>
    <w:rsid w:val="18852618"/>
    <w:rsid w:val="18C70FA4"/>
    <w:rsid w:val="18DA6DAB"/>
    <w:rsid w:val="18EF1C38"/>
    <w:rsid w:val="192525BA"/>
    <w:rsid w:val="19AA748E"/>
    <w:rsid w:val="19C12682"/>
    <w:rsid w:val="19E54BAC"/>
    <w:rsid w:val="19EB5031"/>
    <w:rsid w:val="1A044EB2"/>
    <w:rsid w:val="1A1013C3"/>
    <w:rsid w:val="1A2D3185"/>
    <w:rsid w:val="1A335027"/>
    <w:rsid w:val="1A990534"/>
    <w:rsid w:val="1ABA3F2E"/>
    <w:rsid w:val="1AF23C60"/>
    <w:rsid w:val="1B7B60A4"/>
    <w:rsid w:val="1B7F6D05"/>
    <w:rsid w:val="1B911F6F"/>
    <w:rsid w:val="1BCB0A25"/>
    <w:rsid w:val="1BDD35A9"/>
    <w:rsid w:val="1BF4200F"/>
    <w:rsid w:val="1C3D3DFD"/>
    <w:rsid w:val="1C7D371B"/>
    <w:rsid w:val="1C9D284A"/>
    <w:rsid w:val="1CB46620"/>
    <w:rsid w:val="1CD27A14"/>
    <w:rsid w:val="1D0E0B8E"/>
    <w:rsid w:val="1D21331B"/>
    <w:rsid w:val="1D5C1F56"/>
    <w:rsid w:val="1D70796B"/>
    <w:rsid w:val="1D8941D7"/>
    <w:rsid w:val="1DA940EA"/>
    <w:rsid w:val="1DBA72A6"/>
    <w:rsid w:val="1DEA5391"/>
    <w:rsid w:val="1E017965"/>
    <w:rsid w:val="1E46512C"/>
    <w:rsid w:val="1E662FD9"/>
    <w:rsid w:val="1E7126E8"/>
    <w:rsid w:val="1E8458E3"/>
    <w:rsid w:val="1E8B3F68"/>
    <w:rsid w:val="1EC924CB"/>
    <w:rsid w:val="1EE01C69"/>
    <w:rsid w:val="1EEB1D1F"/>
    <w:rsid w:val="1F23773B"/>
    <w:rsid w:val="1F244E43"/>
    <w:rsid w:val="1F407F22"/>
    <w:rsid w:val="1F4D57AF"/>
    <w:rsid w:val="1F551BED"/>
    <w:rsid w:val="1F5E13F9"/>
    <w:rsid w:val="1F5F662D"/>
    <w:rsid w:val="1F7A3E05"/>
    <w:rsid w:val="200921A1"/>
    <w:rsid w:val="203A4E3A"/>
    <w:rsid w:val="209E464D"/>
    <w:rsid w:val="20C01807"/>
    <w:rsid w:val="20E27D20"/>
    <w:rsid w:val="20E33E4D"/>
    <w:rsid w:val="20F356FF"/>
    <w:rsid w:val="210D5239"/>
    <w:rsid w:val="212D41E4"/>
    <w:rsid w:val="21A632EC"/>
    <w:rsid w:val="21FA2C5B"/>
    <w:rsid w:val="22196E94"/>
    <w:rsid w:val="224A02DD"/>
    <w:rsid w:val="226A46E2"/>
    <w:rsid w:val="227E62D0"/>
    <w:rsid w:val="22A3015D"/>
    <w:rsid w:val="22E93588"/>
    <w:rsid w:val="230450A3"/>
    <w:rsid w:val="23317BC4"/>
    <w:rsid w:val="233569D7"/>
    <w:rsid w:val="239D7B1F"/>
    <w:rsid w:val="23A701B9"/>
    <w:rsid w:val="23FC468E"/>
    <w:rsid w:val="23FF0A19"/>
    <w:rsid w:val="241D302C"/>
    <w:rsid w:val="242F7032"/>
    <w:rsid w:val="24400882"/>
    <w:rsid w:val="247274DE"/>
    <w:rsid w:val="247B6BEB"/>
    <w:rsid w:val="24AF0B6A"/>
    <w:rsid w:val="24D95B0B"/>
    <w:rsid w:val="24FB1ABF"/>
    <w:rsid w:val="25094755"/>
    <w:rsid w:val="252271A5"/>
    <w:rsid w:val="25227BF5"/>
    <w:rsid w:val="25660AAD"/>
    <w:rsid w:val="2597377E"/>
    <w:rsid w:val="25A77C7B"/>
    <w:rsid w:val="25BC6B22"/>
    <w:rsid w:val="25FD7495"/>
    <w:rsid w:val="2637737D"/>
    <w:rsid w:val="26554A7D"/>
    <w:rsid w:val="266C20A3"/>
    <w:rsid w:val="268121F8"/>
    <w:rsid w:val="268D1A4E"/>
    <w:rsid w:val="26E51EAB"/>
    <w:rsid w:val="26EB2534"/>
    <w:rsid w:val="26EF7553"/>
    <w:rsid w:val="2720509F"/>
    <w:rsid w:val="27281E74"/>
    <w:rsid w:val="277A5A0D"/>
    <w:rsid w:val="28580D09"/>
    <w:rsid w:val="28623F21"/>
    <w:rsid w:val="28AF2D64"/>
    <w:rsid w:val="28BD5841"/>
    <w:rsid w:val="28C108E2"/>
    <w:rsid w:val="29444BAF"/>
    <w:rsid w:val="297012D4"/>
    <w:rsid w:val="29B20E5E"/>
    <w:rsid w:val="2A035EE5"/>
    <w:rsid w:val="2A4D635D"/>
    <w:rsid w:val="2A7277B9"/>
    <w:rsid w:val="2AB15DF5"/>
    <w:rsid w:val="2ACB4422"/>
    <w:rsid w:val="2B82702D"/>
    <w:rsid w:val="2BCA4589"/>
    <w:rsid w:val="2BDC7F89"/>
    <w:rsid w:val="2BE7794B"/>
    <w:rsid w:val="2BFA6584"/>
    <w:rsid w:val="2C31199A"/>
    <w:rsid w:val="2C3B494B"/>
    <w:rsid w:val="2C5E6B69"/>
    <w:rsid w:val="2C6936C0"/>
    <w:rsid w:val="2C6F4125"/>
    <w:rsid w:val="2C8362D7"/>
    <w:rsid w:val="2CAB1049"/>
    <w:rsid w:val="2D0121C1"/>
    <w:rsid w:val="2D3C55FC"/>
    <w:rsid w:val="2D433BF9"/>
    <w:rsid w:val="2D4E68AB"/>
    <w:rsid w:val="2D7A0DCF"/>
    <w:rsid w:val="2DEE0511"/>
    <w:rsid w:val="2E0C6B5B"/>
    <w:rsid w:val="2E0F2D03"/>
    <w:rsid w:val="2E4105AC"/>
    <w:rsid w:val="2E681F9E"/>
    <w:rsid w:val="2E8F575F"/>
    <w:rsid w:val="2EBD52D0"/>
    <w:rsid w:val="2EC23CFF"/>
    <w:rsid w:val="2ED918A8"/>
    <w:rsid w:val="2EE1407C"/>
    <w:rsid w:val="2F052D56"/>
    <w:rsid w:val="2F691092"/>
    <w:rsid w:val="2F911DE9"/>
    <w:rsid w:val="2FAC7540"/>
    <w:rsid w:val="2FC507D6"/>
    <w:rsid w:val="2FD93936"/>
    <w:rsid w:val="2FE5450B"/>
    <w:rsid w:val="2FEE2EE2"/>
    <w:rsid w:val="3004156E"/>
    <w:rsid w:val="300B50DB"/>
    <w:rsid w:val="30170054"/>
    <w:rsid w:val="30212A8B"/>
    <w:rsid w:val="30286CA6"/>
    <w:rsid w:val="30454C4A"/>
    <w:rsid w:val="304677BA"/>
    <w:rsid w:val="30545FCE"/>
    <w:rsid w:val="307F59E7"/>
    <w:rsid w:val="308132C6"/>
    <w:rsid w:val="309E7C98"/>
    <w:rsid w:val="30CB2FA4"/>
    <w:rsid w:val="31045FCC"/>
    <w:rsid w:val="311C4E3A"/>
    <w:rsid w:val="31345F60"/>
    <w:rsid w:val="320E3908"/>
    <w:rsid w:val="323229A2"/>
    <w:rsid w:val="32325409"/>
    <w:rsid w:val="32731F63"/>
    <w:rsid w:val="327C710B"/>
    <w:rsid w:val="327F6DBC"/>
    <w:rsid w:val="32906B93"/>
    <w:rsid w:val="32C34822"/>
    <w:rsid w:val="33590ED2"/>
    <w:rsid w:val="335F384E"/>
    <w:rsid w:val="33683CA5"/>
    <w:rsid w:val="338E3801"/>
    <w:rsid w:val="33933B34"/>
    <w:rsid w:val="34B821EC"/>
    <w:rsid w:val="353F12FC"/>
    <w:rsid w:val="35667DFA"/>
    <w:rsid w:val="3567481B"/>
    <w:rsid w:val="35B327AC"/>
    <w:rsid w:val="3625016F"/>
    <w:rsid w:val="364F54C3"/>
    <w:rsid w:val="36736822"/>
    <w:rsid w:val="36C346EA"/>
    <w:rsid w:val="376C385F"/>
    <w:rsid w:val="37927B8D"/>
    <w:rsid w:val="37D16234"/>
    <w:rsid w:val="37D3286C"/>
    <w:rsid w:val="388B3F91"/>
    <w:rsid w:val="38F528CA"/>
    <w:rsid w:val="390D3F85"/>
    <w:rsid w:val="391914D6"/>
    <w:rsid w:val="395669E7"/>
    <w:rsid w:val="39726C2E"/>
    <w:rsid w:val="39B948B7"/>
    <w:rsid w:val="3A137DB7"/>
    <w:rsid w:val="3A1A2F7F"/>
    <w:rsid w:val="3A5D274B"/>
    <w:rsid w:val="3A841357"/>
    <w:rsid w:val="3ACA4312"/>
    <w:rsid w:val="3AF11816"/>
    <w:rsid w:val="3AFC1DF9"/>
    <w:rsid w:val="3B1E6A98"/>
    <w:rsid w:val="3B283F7D"/>
    <w:rsid w:val="3BAD0E3F"/>
    <w:rsid w:val="3C4921EE"/>
    <w:rsid w:val="3C9C2C8E"/>
    <w:rsid w:val="3CD0761B"/>
    <w:rsid w:val="3CE82C61"/>
    <w:rsid w:val="3D0F7809"/>
    <w:rsid w:val="3D111C03"/>
    <w:rsid w:val="3D4D1478"/>
    <w:rsid w:val="3DDD64E3"/>
    <w:rsid w:val="3DDE4EAC"/>
    <w:rsid w:val="3DEC01F7"/>
    <w:rsid w:val="3E1B6DCE"/>
    <w:rsid w:val="3E201B3F"/>
    <w:rsid w:val="3E25475A"/>
    <w:rsid w:val="3E2B5D98"/>
    <w:rsid w:val="3E410DA4"/>
    <w:rsid w:val="3E49516E"/>
    <w:rsid w:val="3ED209EB"/>
    <w:rsid w:val="3F16266A"/>
    <w:rsid w:val="3F923DEF"/>
    <w:rsid w:val="3FC5113A"/>
    <w:rsid w:val="3FD0750B"/>
    <w:rsid w:val="3FFB4152"/>
    <w:rsid w:val="40176D2F"/>
    <w:rsid w:val="40777257"/>
    <w:rsid w:val="40852289"/>
    <w:rsid w:val="40DE145D"/>
    <w:rsid w:val="410E52C8"/>
    <w:rsid w:val="4139649F"/>
    <w:rsid w:val="417C4934"/>
    <w:rsid w:val="419079EA"/>
    <w:rsid w:val="419A60EA"/>
    <w:rsid w:val="419C4C6D"/>
    <w:rsid w:val="41D175D9"/>
    <w:rsid w:val="424916D4"/>
    <w:rsid w:val="424E435D"/>
    <w:rsid w:val="426A4F2A"/>
    <w:rsid w:val="427D1F5D"/>
    <w:rsid w:val="42DA35AC"/>
    <w:rsid w:val="43002C0E"/>
    <w:rsid w:val="431437B3"/>
    <w:rsid w:val="43160506"/>
    <w:rsid w:val="43254E24"/>
    <w:rsid w:val="43323DF2"/>
    <w:rsid w:val="4336319A"/>
    <w:rsid w:val="43B857E7"/>
    <w:rsid w:val="43BA4A98"/>
    <w:rsid w:val="43C63F39"/>
    <w:rsid w:val="440273D7"/>
    <w:rsid w:val="44076747"/>
    <w:rsid w:val="44DC16CE"/>
    <w:rsid w:val="44F0587B"/>
    <w:rsid w:val="44FF0A80"/>
    <w:rsid w:val="450F5DCC"/>
    <w:rsid w:val="45E62B79"/>
    <w:rsid w:val="45EB2D74"/>
    <w:rsid w:val="46132430"/>
    <w:rsid w:val="466B5E9B"/>
    <w:rsid w:val="46715F29"/>
    <w:rsid w:val="46746DD5"/>
    <w:rsid w:val="468908BB"/>
    <w:rsid w:val="46EA59E2"/>
    <w:rsid w:val="46EC55E7"/>
    <w:rsid w:val="46F0555E"/>
    <w:rsid w:val="46F743D4"/>
    <w:rsid w:val="473A7165"/>
    <w:rsid w:val="4762549B"/>
    <w:rsid w:val="478963FF"/>
    <w:rsid w:val="47C43FE1"/>
    <w:rsid w:val="47E44014"/>
    <w:rsid w:val="47F47B0F"/>
    <w:rsid w:val="487218A4"/>
    <w:rsid w:val="488D70FA"/>
    <w:rsid w:val="48E85F57"/>
    <w:rsid w:val="49041056"/>
    <w:rsid w:val="491229C7"/>
    <w:rsid w:val="492D4B16"/>
    <w:rsid w:val="494D2427"/>
    <w:rsid w:val="496A0078"/>
    <w:rsid w:val="497C442A"/>
    <w:rsid w:val="4983361C"/>
    <w:rsid w:val="498730E3"/>
    <w:rsid w:val="49CD412A"/>
    <w:rsid w:val="49CE747A"/>
    <w:rsid w:val="49DC6D21"/>
    <w:rsid w:val="4B035C2C"/>
    <w:rsid w:val="4B446E65"/>
    <w:rsid w:val="4BAD1258"/>
    <w:rsid w:val="4BC75B70"/>
    <w:rsid w:val="4C3D4EFC"/>
    <w:rsid w:val="4C742079"/>
    <w:rsid w:val="4C927B19"/>
    <w:rsid w:val="4CA72072"/>
    <w:rsid w:val="4CA91D7C"/>
    <w:rsid w:val="4CB46CAB"/>
    <w:rsid w:val="4CDE7A4E"/>
    <w:rsid w:val="4CE5168A"/>
    <w:rsid w:val="4D3F3BC7"/>
    <w:rsid w:val="4D7A0BD3"/>
    <w:rsid w:val="4D813A57"/>
    <w:rsid w:val="4D95700F"/>
    <w:rsid w:val="4DB47B0C"/>
    <w:rsid w:val="4DBE10FB"/>
    <w:rsid w:val="4DE54B07"/>
    <w:rsid w:val="4DF31F8B"/>
    <w:rsid w:val="4E360586"/>
    <w:rsid w:val="4E6A3FA0"/>
    <w:rsid w:val="4E834687"/>
    <w:rsid w:val="4EA95161"/>
    <w:rsid w:val="4EB1162F"/>
    <w:rsid w:val="4EF87FFC"/>
    <w:rsid w:val="4F586349"/>
    <w:rsid w:val="4F8F2403"/>
    <w:rsid w:val="4FC803B6"/>
    <w:rsid w:val="4FE847BA"/>
    <w:rsid w:val="4FF52FC3"/>
    <w:rsid w:val="50136810"/>
    <w:rsid w:val="501D5028"/>
    <w:rsid w:val="505B1150"/>
    <w:rsid w:val="507F35D0"/>
    <w:rsid w:val="50863A55"/>
    <w:rsid w:val="509E1951"/>
    <w:rsid w:val="50B817E1"/>
    <w:rsid w:val="50D00255"/>
    <w:rsid w:val="50E07F68"/>
    <w:rsid w:val="50F83035"/>
    <w:rsid w:val="51586CA5"/>
    <w:rsid w:val="516359C3"/>
    <w:rsid w:val="517844A7"/>
    <w:rsid w:val="51C046F3"/>
    <w:rsid w:val="51C472F8"/>
    <w:rsid w:val="51D049A4"/>
    <w:rsid w:val="51F07A74"/>
    <w:rsid w:val="51F446D2"/>
    <w:rsid w:val="520A2BFB"/>
    <w:rsid w:val="522A12F9"/>
    <w:rsid w:val="52396CED"/>
    <w:rsid w:val="525250A3"/>
    <w:rsid w:val="528027C5"/>
    <w:rsid w:val="52836C76"/>
    <w:rsid w:val="529F78CB"/>
    <w:rsid w:val="52A03364"/>
    <w:rsid w:val="5305780C"/>
    <w:rsid w:val="5314492F"/>
    <w:rsid w:val="532145EF"/>
    <w:rsid w:val="534348B1"/>
    <w:rsid w:val="536A4A8F"/>
    <w:rsid w:val="537D5ABF"/>
    <w:rsid w:val="538F3374"/>
    <w:rsid w:val="53AB56D9"/>
    <w:rsid w:val="53BF379A"/>
    <w:rsid w:val="53E81D9D"/>
    <w:rsid w:val="53FE5587"/>
    <w:rsid w:val="54102581"/>
    <w:rsid w:val="545372AA"/>
    <w:rsid w:val="54787EC3"/>
    <w:rsid w:val="549926B3"/>
    <w:rsid w:val="54AA1314"/>
    <w:rsid w:val="54D43FAB"/>
    <w:rsid w:val="54E905B8"/>
    <w:rsid w:val="54F563FF"/>
    <w:rsid w:val="54F902E7"/>
    <w:rsid w:val="55072DC6"/>
    <w:rsid w:val="553662DF"/>
    <w:rsid w:val="5575441A"/>
    <w:rsid w:val="559741C4"/>
    <w:rsid w:val="55A23891"/>
    <w:rsid w:val="55A72AE3"/>
    <w:rsid w:val="55A819C2"/>
    <w:rsid w:val="55AB0C1E"/>
    <w:rsid w:val="55AC76A7"/>
    <w:rsid w:val="55BC4749"/>
    <w:rsid w:val="563E408A"/>
    <w:rsid w:val="56A519C2"/>
    <w:rsid w:val="56C033A3"/>
    <w:rsid w:val="56D26EF7"/>
    <w:rsid w:val="56E67942"/>
    <w:rsid w:val="56FD52BB"/>
    <w:rsid w:val="577976DB"/>
    <w:rsid w:val="577B172D"/>
    <w:rsid w:val="577C402C"/>
    <w:rsid w:val="579408F0"/>
    <w:rsid w:val="57EB4CD2"/>
    <w:rsid w:val="57F859B1"/>
    <w:rsid w:val="585B447D"/>
    <w:rsid w:val="58BF1432"/>
    <w:rsid w:val="590B42ED"/>
    <w:rsid w:val="5910107F"/>
    <w:rsid w:val="5929683A"/>
    <w:rsid w:val="599166C2"/>
    <w:rsid w:val="59E53781"/>
    <w:rsid w:val="5A186DB7"/>
    <w:rsid w:val="5A37739A"/>
    <w:rsid w:val="5A496996"/>
    <w:rsid w:val="5A6C5FA2"/>
    <w:rsid w:val="5A71778D"/>
    <w:rsid w:val="5A8B55A6"/>
    <w:rsid w:val="5AE77135"/>
    <w:rsid w:val="5B351CEC"/>
    <w:rsid w:val="5B4F6BED"/>
    <w:rsid w:val="5BFB699E"/>
    <w:rsid w:val="5C22003A"/>
    <w:rsid w:val="5C2F7237"/>
    <w:rsid w:val="5C6F18A7"/>
    <w:rsid w:val="5CC141F1"/>
    <w:rsid w:val="5D0C4773"/>
    <w:rsid w:val="5D3928BC"/>
    <w:rsid w:val="5D7F39B2"/>
    <w:rsid w:val="5DA222EA"/>
    <w:rsid w:val="5DB7451E"/>
    <w:rsid w:val="5DC323A7"/>
    <w:rsid w:val="5DD20913"/>
    <w:rsid w:val="5E15460C"/>
    <w:rsid w:val="5E1604C8"/>
    <w:rsid w:val="5E371A86"/>
    <w:rsid w:val="5E3D392E"/>
    <w:rsid w:val="5E497F7D"/>
    <w:rsid w:val="5EAF38A4"/>
    <w:rsid w:val="5EB778CF"/>
    <w:rsid w:val="5F3F55B4"/>
    <w:rsid w:val="5F734B0D"/>
    <w:rsid w:val="5F985BDC"/>
    <w:rsid w:val="5FB60109"/>
    <w:rsid w:val="5FBC6CA7"/>
    <w:rsid w:val="5FCC29D9"/>
    <w:rsid w:val="607412C3"/>
    <w:rsid w:val="609D0C57"/>
    <w:rsid w:val="60A72103"/>
    <w:rsid w:val="60DE72B6"/>
    <w:rsid w:val="610F2403"/>
    <w:rsid w:val="614A596E"/>
    <w:rsid w:val="618045EE"/>
    <w:rsid w:val="61B90F34"/>
    <w:rsid w:val="61F661D7"/>
    <w:rsid w:val="62115A73"/>
    <w:rsid w:val="6242016F"/>
    <w:rsid w:val="62691023"/>
    <w:rsid w:val="630B20B2"/>
    <w:rsid w:val="63176E92"/>
    <w:rsid w:val="632064C5"/>
    <w:rsid w:val="636B4DD1"/>
    <w:rsid w:val="63B27A16"/>
    <w:rsid w:val="640C2D98"/>
    <w:rsid w:val="64250EEA"/>
    <w:rsid w:val="64C66B4A"/>
    <w:rsid w:val="651D1DC4"/>
    <w:rsid w:val="65476A68"/>
    <w:rsid w:val="65E91E59"/>
    <w:rsid w:val="66112708"/>
    <w:rsid w:val="662314EF"/>
    <w:rsid w:val="667C7405"/>
    <w:rsid w:val="66BB402E"/>
    <w:rsid w:val="66E071B1"/>
    <w:rsid w:val="66F66060"/>
    <w:rsid w:val="67234155"/>
    <w:rsid w:val="673C6BFD"/>
    <w:rsid w:val="674D0FA2"/>
    <w:rsid w:val="67B75EC0"/>
    <w:rsid w:val="67C26FFF"/>
    <w:rsid w:val="67C361E4"/>
    <w:rsid w:val="685726F7"/>
    <w:rsid w:val="68A56380"/>
    <w:rsid w:val="697F22DD"/>
    <w:rsid w:val="69CD0D40"/>
    <w:rsid w:val="6A412C00"/>
    <w:rsid w:val="6AA81CB3"/>
    <w:rsid w:val="6AC819E4"/>
    <w:rsid w:val="6AD97567"/>
    <w:rsid w:val="6B045BF2"/>
    <w:rsid w:val="6B2275BD"/>
    <w:rsid w:val="6B6F3477"/>
    <w:rsid w:val="6BAF4337"/>
    <w:rsid w:val="6BC20DC6"/>
    <w:rsid w:val="6CCA1FCB"/>
    <w:rsid w:val="6CE833A1"/>
    <w:rsid w:val="6D024722"/>
    <w:rsid w:val="6D336E07"/>
    <w:rsid w:val="6D686863"/>
    <w:rsid w:val="6D9A05AB"/>
    <w:rsid w:val="6DAE6B68"/>
    <w:rsid w:val="6DC77D37"/>
    <w:rsid w:val="6DEE6ACD"/>
    <w:rsid w:val="6E883C2A"/>
    <w:rsid w:val="6EB47716"/>
    <w:rsid w:val="6ED35C85"/>
    <w:rsid w:val="6EE33266"/>
    <w:rsid w:val="6F504119"/>
    <w:rsid w:val="6F8D3F04"/>
    <w:rsid w:val="6FEC232B"/>
    <w:rsid w:val="70261ACC"/>
    <w:rsid w:val="70657D9A"/>
    <w:rsid w:val="710E08E9"/>
    <w:rsid w:val="71376E0E"/>
    <w:rsid w:val="71474319"/>
    <w:rsid w:val="714C7E5B"/>
    <w:rsid w:val="71985B8B"/>
    <w:rsid w:val="71C74462"/>
    <w:rsid w:val="7207741E"/>
    <w:rsid w:val="7247520C"/>
    <w:rsid w:val="72746507"/>
    <w:rsid w:val="7285217F"/>
    <w:rsid w:val="72B01F7B"/>
    <w:rsid w:val="72D43C86"/>
    <w:rsid w:val="73060317"/>
    <w:rsid w:val="73720E4F"/>
    <w:rsid w:val="73D439F5"/>
    <w:rsid w:val="74983E5C"/>
    <w:rsid w:val="74A72618"/>
    <w:rsid w:val="74A93466"/>
    <w:rsid w:val="74BE3E00"/>
    <w:rsid w:val="74BF7CFD"/>
    <w:rsid w:val="751C7FF8"/>
    <w:rsid w:val="752F7423"/>
    <w:rsid w:val="7552089A"/>
    <w:rsid w:val="75650382"/>
    <w:rsid w:val="757452F8"/>
    <w:rsid w:val="757F5218"/>
    <w:rsid w:val="75E530AB"/>
    <w:rsid w:val="760C0A30"/>
    <w:rsid w:val="76283BAC"/>
    <w:rsid w:val="76494E1F"/>
    <w:rsid w:val="764D5D40"/>
    <w:rsid w:val="765B1406"/>
    <w:rsid w:val="76622C9F"/>
    <w:rsid w:val="76C30CCE"/>
    <w:rsid w:val="76F73939"/>
    <w:rsid w:val="771A0004"/>
    <w:rsid w:val="773F5BBC"/>
    <w:rsid w:val="77706E46"/>
    <w:rsid w:val="77792455"/>
    <w:rsid w:val="778458B9"/>
    <w:rsid w:val="77935049"/>
    <w:rsid w:val="77C34A67"/>
    <w:rsid w:val="77F87F1C"/>
    <w:rsid w:val="781C4DF2"/>
    <w:rsid w:val="784047A9"/>
    <w:rsid w:val="786B2B38"/>
    <w:rsid w:val="789127BB"/>
    <w:rsid w:val="78E84A6D"/>
    <w:rsid w:val="78F10CB7"/>
    <w:rsid w:val="79177A44"/>
    <w:rsid w:val="791D3009"/>
    <w:rsid w:val="794B04D4"/>
    <w:rsid w:val="79897DBB"/>
    <w:rsid w:val="79EB3B76"/>
    <w:rsid w:val="7A156218"/>
    <w:rsid w:val="7A3309A6"/>
    <w:rsid w:val="7AAE0504"/>
    <w:rsid w:val="7AD402B0"/>
    <w:rsid w:val="7ADB7B3D"/>
    <w:rsid w:val="7B5E616C"/>
    <w:rsid w:val="7B6A277F"/>
    <w:rsid w:val="7BA77496"/>
    <w:rsid w:val="7BF5528A"/>
    <w:rsid w:val="7C0D64FE"/>
    <w:rsid w:val="7C403F3F"/>
    <w:rsid w:val="7CAC5C42"/>
    <w:rsid w:val="7CE57B4C"/>
    <w:rsid w:val="7CFE5A7D"/>
    <w:rsid w:val="7D201199"/>
    <w:rsid w:val="7D2D32A8"/>
    <w:rsid w:val="7D404B54"/>
    <w:rsid w:val="7D5C57D7"/>
    <w:rsid w:val="7D713B9C"/>
    <w:rsid w:val="7D822759"/>
    <w:rsid w:val="7D9D72C4"/>
    <w:rsid w:val="7DA668AF"/>
    <w:rsid w:val="7DB608C9"/>
    <w:rsid w:val="7DBD79CF"/>
    <w:rsid w:val="7DD06A90"/>
    <w:rsid w:val="7E5F7489"/>
    <w:rsid w:val="7EC42066"/>
    <w:rsid w:val="7EFF6C5E"/>
    <w:rsid w:val="7F076068"/>
    <w:rsid w:val="7F19285E"/>
    <w:rsid w:val="7F96409B"/>
    <w:rsid w:val="7FB4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sz w:val="22"/>
      <w:szCs w:val="22"/>
      <w:lang w:val="en-US" w:eastAsia="en-US" w:bidi="ar-SA"/>
    </w:rPr>
  </w:style>
  <w:style w:type="paragraph" w:styleId="3">
    <w:name w:val="heading 1"/>
    <w:basedOn w:val="1"/>
    <w:next w:val="1"/>
    <w:qFormat/>
    <w:uiPriority w:val="1"/>
    <w:pPr>
      <w:spacing w:line="590" w:lineRule="exact"/>
      <w:ind w:left="3"/>
      <w:outlineLvl w:val="0"/>
    </w:pPr>
    <w:rPr>
      <w:rFonts w:ascii="Microsoft JhengHei" w:hAnsi="Microsoft JhengHei" w:eastAsia="Microsoft JhengHei" w:cs="Microsoft JhengHei"/>
      <w:b/>
      <w:bCs/>
      <w:sz w:val="44"/>
      <w:szCs w:val="44"/>
    </w:rPr>
  </w:style>
  <w:style w:type="paragraph" w:styleId="4">
    <w:name w:val="heading 2"/>
    <w:basedOn w:val="1"/>
    <w:next w:val="1"/>
    <w:qFormat/>
    <w:uiPriority w:val="1"/>
    <w:pPr>
      <w:ind w:left="100" w:right="102"/>
      <w:outlineLvl w:val="1"/>
    </w:pPr>
    <w:rPr>
      <w:rFonts w:ascii="Microsoft JhengHei" w:hAnsi="Microsoft JhengHei" w:eastAsia="Microsoft JhengHei" w:cs="Microsoft JhengHei"/>
      <w:b/>
      <w:bCs/>
      <w:sz w:val="32"/>
      <w:szCs w:val="32"/>
    </w:rPr>
  </w:style>
  <w:style w:type="paragraph" w:styleId="5">
    <w:name w:val="heading 3"/>
    <w:basedOn w:val="1"/>
    <w:next w:val="1"/>
    <w:qFormat/>
    <w:uiPriority w:val="1"/>
    <w:pPr>
      <w:ind w:left="237" w:right="21"/>
      <w:outlineLvl w:val="2"/>
    </w:pPr>
    <w:rPr>
      <w:sz w:val="28"/>
      <w:szCs w:val="28"/>
    </w:rPr>
  </w:style>
  <w:style w:type="paragraph" w:styleId="6">
    <w:name w:val="heading 4"/>
    <w:basedOn w:val="1"/>
    <w:next w:val="1"/>
    <w:qFormat/>
    <w:uiPriority w:val="1"/>
    <w:pPr>
      <w:ind w:left="522"/>
      <w:outlineLvl w:val="3"/>
    </w:pPr>
    <w:rPr>
      <w:rFonts w:ascii="Times New Roman" w:hAnsi="Times New Roman" w:eastAsia="Times New Roman" w:cs="Times New Roman"/>
      <w:b/>
      <w:b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7">
    <w:name w:val="caption"/>
    <w:basedOn w:val="1"/>
    <w:next w:val="1"/>
    <w:unhideWhenUsed/>
    <w:qFormat/>
    <w:uiPriority w:val="0"/>
    <w:pPr>
      <w:spacing w:line="360" w:lineRule="auto"/>
      <w:ind w:firstLine="560" w:firstLineChars="200"/>
    </w:pPr>
    <w:rPr>
      <w:rFonts w:ascii="Cambria" w:hAnsi="Cambria" w:eastAsia="黑体"/>
      <w:sz w:val="20"/>
      <w:szCs w:val="20"/>
    </w:rPr>
  </w:style>
  <w:style w:type="paragraph" w:styleId="8">
    <w:name w:val="Body Text Indent"/>
    <w:basedOn w:val="1"/>
    <w:qFormat/>
    <w:uiPriority w:val="0"/>
    <w:pPr>
      <w:spacing w:after="120"/>
      <w:ind w:left="420" w:leftChars="200"/>
    </w:pPr>
    <w:rPr>
      <w:sz w:val="20"/>
    </w:rPr>
  </w:style>
  <w:style w:type="paragraph" w:styleId="9">
    <w:name w:val="toc 3"/>
    <w:basedOn w:val="1"/>
    <w:next w:val="1"/>
    <w:qFormat/>
    <w:uiPriority w:val="1"/>
    <w:pPr>
      <w:spacing w:line="272" w:lineRule="exact"/>
      <w:ind w:left="940"/>
    </w:pPr>
    <w:rPr>
      <w:sz w:val="21"/>
      <w:szCs w:val="21"/>
    </w:rPr>
  </w:style>
  <w:style w:type="paragraph" w:styleId="10">
    <w:name w:val="Plain Text"/>
    <w:basedOn w:val="1"/>
    <w:qFormat/>
    <w:uiPriority w:val="0"/>
    <w:pPr>
      <w:ind w:firstLine="200" w:firstLineChars="200"/>
    </w:pPr>
    <w:rPr>
      <w:rFonts w:hAnsi="Courier New" w:eastAsia="仿宋_GB2312"/>
      <w:sz w:val="20"/>
      <w:szCs w:val="21"/>
    </w:rPr>
  </w:style>
  <w:style w:type="paragraph" w:styleId="11">
    <w:name w:val="Body Text Indent 2"/>
    <w:basedOn w:val="1"/>
    <w:qFormat/>
    <w:uiPriority w:val="0"/>
    <w:pPr>
      <w:spacing w:line="480" w:lineRule="exact"/>
      <w:ind w:firstLine="600"/>
    </w:pPr>
    <w:rPr>
      <w:sz w:val="30"/>
    </w:rPr>
  </w:style>
  <w:style w:type="paragraph" w:styleId="12">
    <w:name w:val="Balloon Text"/>
    <w:basedOn w:val="1"/>
    <w:link w:val="31"/>
    <w:qFormat/>
    <w:uiPriority w:val="0"/>
    <w:rPr>
      <w:sz w:val="18"/>
      <w:szCs w:val="18"/>
    </w:rPr>
  </w:style>
  <w:style w:type="paragraph" w:styleId="13">
    <w:name w:val="footer"/>
    <w:basedOn w:val="1"/>
    <w:unhideWhenUsed/>
    <w:qFormat/>
    <w:uiPriority w:val="99"/>
    <w:pPr>
      <w:tabs>
        <w:tab w:val="center" w:pos="4153"/>
        <w:tab w:val="right" w:pos="8306"/>
      </w:tabs>
      <w:snapToGrid w:val="0"/>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toc 1"/>
    <w:basedOn w:val="1"/>
    <w:next w:val="1"/>
    <w:qFormat/>
    <w:uiPriority w:val="1"/>
    <w:pPr>
      <w:spacing w:line="272" w:lineRule="exact"/>
      <w:ind w:left="100"/>
    </w:pPr>
    <w:rPr>
      <w:sz w:val="21"/>
      <w:szCs w:val="21"/>
    </w:rPr>
  </w:style>
  <w:style w:type="paragraph" w:styleId="16">
    <w:name w:val="toc 2"/>
    <w:basedOn w:val="1"/>
    <w:next w:val="1"/>
    <w:qFormat/>
    <w:uiPriority w:val="1"/>
    <w:pPr>
      <w:spacing w:line="272" w:lineRule="exact"/>
      <w:ind w:left="520"/>
    </w:pPr>
    <w:rPr>
      <w:sz w:val="21"/>
      <w:szCs w:val="21"/>
    </w:rPr>
  </w:style>
  <w:style w:type="paragraph" w:styleId="17">
    <w:name w:val="Normal (Web)"/>
    <w:basedOn w:val="1"/>
    <w:qFormat/>
    <w:uiPriority w:val="0"/>
    <w:pPr>
      <w:spacing w:beforeAutospacing="1" w:afterAutospacing="1"/>
    </w:pPr>
    <w:rPr>
      <w:rFonts w:cs="Times New Roman"/>
      <w:sz w:val="24"/>
      <w:lang w:eastAsia="zh-CN"/>
    </w:rPr>
  </w:style>
  <w:style w:type="paragraph" w:styleId="18">
    <w:name w:val="Body Text First Indent 2"/>
    <w:basedOn w:val="8"/>
    <w:unhideWhenUsed/>
    <w:qFormat/>
    <w:uiPriority w:val="99"/>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qFormat/>
    <w:uiPriority w:val="0"/>
    <w:rPr>
      <w:color w:val="0000FF"/>
      <w:u w:val="single"/>
    </w:rPr>
  </w:style>
  <w:style w:type="paragraph" w:customStyle="1" w:styleId="23">
    <w:name w:val="一级条标题"/>
    <w:basedOn w:val="24"/>
    <w:next w:val="25"/>
    <w:qFormat/>
    <w:uiPriority w:val="0"/>
    <w:pPr>
      <w:spacing w:line="240" w:lineRule="auto"/>
      <w:ind w:left="420"/>
      <w:outlineLvl w:val="2"/>
    </w:pPr>
  </w:style>
  <w:style w:type="paragraph" w:customStyle="1" w:styleId="2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table" w:customStyle="1" w:styleId="26">
    <w:name w:val="Table Normal"/>
    <w:unhideWhenUsed/>
    <w:qFormat/>
    <w:uiPriority w:val="2"/>
    <w:tblPr>
      <w:tblCellMar>
        <w:top w:w="0" w:type="dxa"/>
        <w:left w:w="0" w:type="dxa"/>
        <w:bottom w:w="0" w:type="dxa"/>
        <w:right w:w="0" w:type="dxa"/>
      </w:tblCellMar>
    </w:tblPr>
  </w:style>
  <w:style w:type="paragraph" w:customStyle="1" w:styleId="27">
    <w:name w:val="列出段落1"/>
    <w:basedOn w:val="1"/>
    <w:qFormat/>
    <w:uiPriority w:val="1"/>
  </w:style>
  <w:style w:type="paragraph" w:customStyle="1" w:styleId="28">
    <w:name w:val="Table Paragraph"/>
    <w:basedOn w:val="1"/>
    <w:qFormat/>
    <w:uiPriority w:val="1"/>
  </w:style>
  <w:style w:type="character" w:customStyle="1" w:styleId="29">
    <w:name w:val="样式1 Char"/>
    <w:link w:val="30"/>
    <w:qFormat/>
    <w:uiPriority w:val="0"/>
    <w:rPr>
      <w:b/>
      <w:color w:val="FF0000"/>
      <w:u w:val="wave"/>
    </w:rPr>
  </w:style>
  <w:style w:type="paragraph" w:customStyle="1" w:styleId="30">
    <w:name w:val="样式1"/>
    <w:basedOn w:val="1"/>
    <w:link w:val="29"/>
    <w:qFormat/>
    <w:uiPriority w:val="0"/>
    <w:rPr>
      <w:b/>
      <w:color w:val="FF0000"/>
      <w:u w:val="wave"/>
    </w:rPr>
  </w:style>
  <w:style w:type="character" w:customStyle="1" w:styleId="31">
    <w:name w:val="批注框文本 Char"/>
    <w:basedOn w:val="21"/>
    <w:link w:val="12"/>
    <w:qFormat/>
    <w:uiPriority w:val="0"/>
    <w:rPr>
      <w:rFonts w:ascii="宋体" w:hAnsi="宋体" w:cs="宋体"/>
      <w:sz w:val="18"/>
      <w:szCs w:val="18"/>
      <w:lang w:eastAsia="en-US"/>
    </w:rPr>
  </w:style>
  <w:style w:type="character" w:customStyle="1" w:styleId="32">
    <w:name w:val="NormalCharacter"/>
    <w:semiHidden/>
    <w:qFormat/>
    <w:uiPriority w:val="0"/>
  </w:style>
  <w:style w:type="paragraph" w:customStyle="1" w:styleId="33">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character" w:customStyle="1" w:styleId="34">
    <w:name w:val="font31"/>
    <w:basedOn w:val="21"/>
    <w:qFormat/>
    <w:uiPriority w:val="0"/>
    <w:rPr>
      <w:rFonts w:hint="default" w:ascii="Times New Roman" w:hAnsi="Times New Roman" w:cs="Times New Roman"/>
      <w:b/>
      <w:bCs/>
      <w:color w:val="000000"/>
      <w:sz w:val="20"/>
      <w:szCs w:val="20"/>
      <w:u w:val="none"/>
    </w:rPr>
  </w:style>
  <w:style w:type="character" w:customStyle="1" w:styleId="35">
    <w:name w:val="font61"/>
    <w:basedOn w:val="21"/>
    <w:qFormat/>
    <w:uiPriority w:val="0"/>
    <w:rPr>
      <w:rFonts w:hint="eastAsia" w:ascii="宋体" w:hAnsi="宋体" w:eastAsia="宋体" w:cs="宋体"/>
      <w:b/>
      <w:bCs/>
      <w:color w:val="000000"/>
      <w:sz w:val="20"/>
      <w:szCs w:val="20"/>
      <w:u w:val="none"/>
    </w:rPr>
  </w:style>
  <w:style w:type="character" w:customStyle="1" w:styleId="36">
    <w:name w:val="font21"/>
    <w:basedOn w:val="21"/>
    <w:qFormat/>
    <w:uiPriority w:val="0"/>
    <w:rPr>
      <w:rFonts w:hint="default" w:ascii="Times New Roman" w:hAnsi="Times New Roman" w:cs="Times New Roman"/>
      <w:color w:val="000000"/>
      <w:sz w:val="20"/>
      <w:szCs w:val="20"/>
      <w:u w:val="none"/>
    </w:rPr>
  </w:style>
  <w:style w:type="character" w:customStyle="1" w:styleId="37">
    <w:name w:val="font41"/>
    <w:basedOn w:val="21"/>
    <w:qFormat/>
    <w:uiPriority w:val="0"/>
    <w:rPr>
      <w:rFonts w:hint="eastAsia" w:ascii="宋体" w:hAnsi="宋体" w:eastAsia="宋体" w:cs="宋体"/>
      <w:color w:val="000000"/>
      <w:sz w:val="20"/>
      <w:szCs w:val="20"/>
      <w:u w:val="none"/>
    </w:rPr>
  </w:style>
  <w:style w:type="character" w:customStyle="1" w:styleId="38">
    <w:name w:val="font11"/>
    <w:basedOn w:val="21"/>
    <w:qFormat/>
    <w:uiPriority w:val="0"/>
    <w:rPr>
      <w:rFonts w:hint="default" w:ascii="Times New Roman" w:hAnsi="Times New Roman" w:cs="Times New Roman"/>
      <w:color w:val="000000"/>
      <w:sz w:val="20"/>
      <w:szCs w:val="20"/>
      <w:u w:val="none"/>
    </w:rPr>
  </w:style>
  <w:style w:type="character" w:customStyle="1" w:styleId="39">
    <w:name w:val="font01"/>
    <w:basedOn w:val="21"/>
    <w:qFormat/>
    <w:uiPriority w:val="0"/>
    <w:rPr>
      <w:rFonts w:hint="eastAsia" w:ascii="宋体" w:hAnsi="宋体" w:eastAsia="宋体" w:cs="宋体"/>
      <w:color w:val="000000"/>
      <w:sz w:val="22"/>
      <w:szCs w:val="22"/>
      <w:u w:val="none"/>
    </w:rPr>
  </w:style>
  <w:style w:type="paragraph" w:styleId="4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B7E41-74CA-436C-BD27-B609E86C481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36835</Words>
  <Characters>39505</Characters>
  <Lines>350</Lines>
  <Paragraphs>98</Paragraphs>
  <TotalTime>4</TotalTime>
  <ScaleCrop>false</ScaleCrop>
  <LinksUpToDate>false</LinksUpToDate>
  <CharactersWithSpaces>42005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2022-05-30T02:50:00Z</dcterms:created>
  <dc:creator>袁静</dc:creator>
  <cp:lastModifiedBy>  叶子</cp:lastModifiedBy>
  <cp:lastPrinted>2022-01-20T06:33:00Z</cp:lastPrinted>
  <dcterms:modified xsi:type="dcterms:W3CDTF">2022-06-20T07:51:00Z</dcterms:modified>
  <dc:title>中华人民共和国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2052-11.1.0.11744</vt:lpwstr>
  </property>
  <property fmtid="{D5CDD505-2E9C-101B-9397-08002B2CF9AE}" pid="6" name="ICV">
    <vt:lpwstr>DEBCA420C00244B483EC55E47FE12F19</vt:lpwstr>
  </property>
</Properties>
</file>